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839" w:rsidRPr="003A3336" w:rsidRDefault="00701839" w:rsidP="005C15D0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b/>
          <w:bCs/>
          <w:sz w:val="28"/>
          <w:szCs w:val="28"/>
          <w:rtl/>
          <w:lang w:bidi="fa-IR"/>
        </w:rPr>
        <w:t>بسم الله الرحمن الرحیم</w:t>
      </w:r>
    </w:p>
    <w:p w:rsidR="005C15D0" w:rsidRPr="003A3336" w:rsidRDefault="005C15D0" w:rsidP="005C15D0">
      <w:pPr>
        <w:bidi/>
        <w:jc w:val="both"/>
        <w:rPr>
          <w:rFonts w:ascii="IRBadr" w:hAnsi="IRBadr" w:cs="IRBadr"/>
          <w:noProof/>
        </w:rPr>
      </w:pPr>
      <w:r w:rsidRPr="003A3336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3A3336">
        <w:rPr>
          <w:rFonts w:ascii="IRBadr" w:hAnsi="IRBadr" w:cs="IRBadr"/>
          <w:b/>
          <w:bCs/>
          <w:sz w:val="28"/>
          <w:szCs w:val="28"/>
          <w:lang w:bidi="fa-IR"/>
        </w:rPr>
        <w:fldChar w:fldCharType="begin"/>
      </w:r>
      <w:r w:rsidRPr="003A3336">
        <w:rPr>
          <w:rFonts w:ascii="IRBadr" w:hAnsi="IRBadr" w:cs="IRBadr"/>
          <w:b/>
          <w:bCs/>
          <w:sz w:val="28"/>
          <w:szCs w:val="28"/>
          <w:lang w:bidi="fa-IR"/>
        </w:rPr>
        <w:instrText xml:space="preserve"> TOC \o "1-4" \h \z \u </w:instrText>
      </w:r>
      <w:r w:rsidRPr="003A3336">
        <w:rPr>
          <w:rFonts w:ascii="IRBadr" w:hAnsi="IRBadr" w:cs="IRBadr"/>
          <w:b/>
          <w:bCs/>
          <w:sz w:val="28"/>
          <w:szCs w:val="28"/>
          <w:lang w:bidi="fa-IR"/>
        </w:rPr>
        <w:fldChar w:fldCharType="separate"/>
      </w:r>
    </w:p>
    <w:p w:rsidR="005C15D0" w:rsidRPr="003A3336" w:rsidRDefault="00604C75" w:rsidP="005C15D0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4114" w:history="1">
        <w:r w:rsidR="005C15D0" w:rsidRPr="003A3336">
          <w:rPr>
            <w:rStyle w:val="Hyperlink"/>
            <w:rFonts w:ascii="IRBadr" w:hAnsi="IRBadr" w:cs="IRBadr"/>
            <w:noProof/>
            <w:rtl/>
          </w:rPr>
          <w:t>حد مسکر</w:t>
        </w:r>
        <w:r w:rsidR="005C15D0" w:rsidRPr="003A3336">
          <w:rPr>
            <w:rFonts w:ascii="IRBadr" w:hAnsi="IRBadr" w:cs="IRBadr"/>
            <w:noProof/>
            <w:webHidden/>
          </w:rPr>
          <w:tab/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C15D0" w:rsidRPr="003A3336">
          <w:rPr>
            <w:rFonts w:ascii="IRBadr" w:hAnsi="IRBadr" w:cs="IRBadr"/>
            <w:noProof/>
            <w:webHidden/>
          </w:rPr>
          <w:instrText xml:space="preserve"> PAGEREF _Toc427884114 \h </w:instrText>
        </w:r>
        <w:r w:rsidR="005C15D0" w:rsidRPr="003A3336">
          <w:rPr>
            <w:rStyle w:val="Hyperlink"/>
            <w:rFonts w:ascii="IRBadr" w:hAnsi="IRBadr" w:cs="IRBadr"/>
            <w:noProof/>
            <w:rtl/>
          </w:rPr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C15D0" w:rsidRPr="003A3336">
          <w:rPr>
            <w:rFonts w:ascii="IRBadr" w:hAnsi="IRBadr" w:cs="IRBadr"/>
            <w:noProof/>
            <w:webHidden/>
          </w:rPr>
          <w:t>2</w:t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C15D0" w:rsidRPr="003A3336" w:rsidRDefault="00604C75" w:rsidP="005C15D0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4115" w:history="1">
        <w:r w:rsidR="005C15D0" w:rsidRPr="003A3336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5C15D0" w:rsidRPr="003A3336">
          <w:rPr>
            <w:rFonts w:ascii="IRBadr" w:hAnsi="IRBadr" w:cs="IRBadr"/>
            <w:noProof/>
            <w:webHidden/>
          </w:rPr>
          <w:tab/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C15D0" w:rsidRPr="003A3336">
          <w:rPr>
            <w:rFonts w:ascii="IRBadr" w:hAnsi="IRBadr" w:cs="IRBadr"/>
            <w:noProof/>
            <w:webHidden/>
          </w:rPr>
          <w:instrText xml:space="preserve"> PAGEREF _Toc427884115 \h </w:instrText>
        </w:r>
        <w:r w:rsidR="005C15D0" w:rsidRPr="003A3336">
          <w:rPr>
            <w:rStyle w:val="Hyperlink"/>
            <w:rFonts w:ascii="IRBadr" w:hAnsi="IRBadr" w:cs="IRBadr"/>
            <w:noProof/>
            <w:rtl/>
          </w:rPr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C15D0" w:rsidRPr="003A3336">
          <w:rPr>
            <w:rFonts w:ascii="IRBadr" w:hAnsi="IRBadr" w:cs="IRBadr"/>
            <w:noProof/>
            <w:webHidden/>
          </w:rPr>
          <w:t>2</w:t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C15D0" w:rsidRPr="003A3336" w:rsidRDefault="00604C75" w:rsidP="005C15D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4116" w:history="1">
        <w:r w:rsidR="005C15D0" w:rsidRPr="003A3336">
          <w:rPr>
            <w:rStyle w:val="Hyperlink"/>
            <w:rFonts w:ascii="IRBadr" w:hAnsi="IRBadr" w:cs="IRBadr"/>
            <w:noProof/>
            <w:rtl/>
          </w:rPr>
          <w:t>مستند حد در نبیذ</w:t>
        </w:r>
        <w:r w:rsidR="005C15D0" w:rsidRPr="003A3336">
          <w:rPr>
            <w:rFonts w:ascii="IRBadr" w:hAnsi="IRBadr" w:cs="IRBadr"/>
            <w:noProof/>
            <w:webHidden/>
          </w:rPr>
          <w:tab/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C15D0" w:rsidRPr="003A3336">
          <w:rPr>
            <w:rFonts w:ascii="IRBadr" w:hAnsi="IRBadr" w:cs="IRBadr"/>
            <w:noProof/>
            <w:webHidden/>
          </w:rPr>
          <w:instrText xml:space="preserve"> PAGEREF _Toc427884116 \h </w:instrText>
        </w:r>
        <w:r w:rsidR="005C15D0" w:rsidRPr="003A3336">
          <w:rPr>
            <w:rStyle w:val="Hyperlink"/>
            <w:rFonts w:ascii="IRBadr" w:hAnsi="IRBadr" w:cs="IRBadr"/>
            <w:noProof/>
            <w:rtl/>
          </w:rPr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C15D0" w:rsidRPr="003A3336">
          <w:rPr>
            <w:rFonts w:ascii="IRBadr" w:hAnsi="IRBadr" w:cs="IRBadr"/>
            <w:noProof/>
            <w:webHidden/>
          </w:rPr>
          <w:t>2</w:t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C15D0" w:rsidRPr="003A3336" w:rsidRDefault="00604C75" w:rsidP="005C15D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4117" w:history="1">
        <w:r w:rsidR="005C15D0" w:rsidRPr="003A3336">
          <w:rPr>
            <w:rStyle w:val="Hyperlink"/>
            <w:rFonts w:ascii="IRBadr" w:hAnsi="IRBadr" w:cs="IRBadr"/>
            <w:noProof/>
            <w:rtl/>
          </w:rPr>
          <w:t>بررسی سندی روایت</w:t>
        </w:r>
        <w:r w:rsidR="005C15D0" w:rsidRPr="003A3336">
          <w:rPr>
            <w:rFonts w:ascii="IRBadr" w:hAnsi="IRBadr" w:cs="IRBadr"/>
            <w:noProof/>
            <w:webHidden/>
          </w:rPr>
          <w:tab/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C15D0" w:rsidRPr="003A3336">
          <w:rPr>
            <w:rFonts w:ascii="IRBadr" w:hAnsi="IRBadr" w:cs="IRBadr"/>
            <w:noProof/>
            <w:webHidden/>
          </w:rPr>
          <w:instrText xml:space="preserve"> PAGEREF _Toc427884117 \h </w:instrText>
        </w:r>
        <w:r w:rsidR="005C15D0" w:rsidRPr="003A3336">
          <w:rPr>
            <w:rStyle w:val="Hyperlink"/>
            <w:rFonts w:ascii="IRBadr" w:hAnsi="IRBadr" w:cs="IRBadr"/>
            <w:noProof/>
            <w:rtl/>
          </w:rPr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C15D0" w:rsidRPr="003A3336">
          <w:rPr>
            <w:rFonts w:ascii="IRBadr" w:hAnsi="IRBadr" w:cs="IRBadr"/>
            <w:noProof/>
            <w:webHidden/>
          </w:rPr>
          <w:t>3</w:t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C15D0" w:rsidRPr="003A3336" w:rsidRDefault="00604C75" w:rsidP="005C15D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4118" w:history="1">
        <w:r w:rsidR="005C15D0" w:rsidRPr="003A3336">
          <w:rPr>
            <w:rStyle w:val="Hyperlink"/>
            <w:rFonts w:ascii="IRBadr" w:hAnsi="IRBadr" w:cs="IRBadr"/>
            <w:noProof/>
            <w:rtl/>
          </w:rPr>
          <w:t>موضوع روایت</w:t>
        </w:r>
        <w:r w:rsidR="005C15D0" w:rsidRPr="003A3336">
          <w:rPr>
            <w:rFonts w:ascii="IRBadr" w:hAnsi="IRBadr" w:cs="IRBadr"/>
            <w:noProof/>
            <w:webHidden/>
          </w:rPr>
          <w:tab/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C15D0" w:rsidRPr="003A3336">
          <w:rPr>
            <w:rFonts w:ascii="IRBadr" w:hAnsi="IRBadr" w:cs="IRBadr"/>
            <w:noProof/>
            <w:webHidden/>
          </w:rPr>
          <w:instrText xml:space="preserve"> PAGEREF _Toc427884118 \h </w:instrText>
        </w:r>
        <w:r w:rsidR="005C15D0" w:rsidRPr="003A3336">
          <w:rPr>
            <w:rStyle w:val="Hyperlink"/>
            <w:rFonts w:ascii="IRBadr" w:hAnsi="IRBadr" w:cs="IRBadr"/>
            <w:noProof/>
            <w:rtl/>
          </w:rPr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C15D0" w:rsidRPr="003A3336">
          <w:rPr>
            <w:rFonts w:ascii="IRBadr" w:hAnsi="IRBadr" w:cs="IRBadr"/>
            <w:noProof/>
            <w:webHidden/>
          </w:rPr>
          <w:t>3</w:t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C15D0" w:rsidRPr="003A3336" w:rsidRDefault="00604C75" w:rsidP="005C15D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4119" w:history="1">
        <w:r w:rsidR="005C15D0" w:rsidRPr="003A3336">
          <w:rPr>
            <w:rStyle w:val="Hyperlink"/>
            <w:rFonts w:ascii="IRBadr" w:hAnsi="IRBadr" w:cs="IRBadr"/>
            <w:noProof/>
            <w:rtl/>
          </w:rPr>
          <w:t>حجیت قول ذو الید</w:t>
        </w:r>
        <w:r w:rsidR="005C15D0" w:rsidRPr="003A3336">
          <w:rPr>
            <w:rFonts w:ascii="IRBadr" w:hAnsi="IRBadr" w:cs="IRBadr"/>
            <w:noProof/>
            <w:webHidden/>
          </w:rPr>
          <w:tab/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C15D0" w:rsidRPr="003A3336">
          <w:rPr>
            <w:rFonts w:ascii="IRBadr" w:hAnsi="IRBadr" w:cs="IRBadr"/>
            <w:noProof/>
            <w:webHidden/>
          </w:rPr>
          <w:instrText xml:space="preserve"> PAGEREF _Toc427884119 \h </w:instrText>
        </w:r>
        <w:r w:rsidR="005C15D0" w:rsidRPr="003A3336">
          <w:rPr>
            <w:rStyle w:val="Hyperlink"/>
            <w:rFonts w:ascii="IRBadr" w:hAnsi="IRBadr" w:cs="IRBadr"/>
            <w:noProof/>
            <w:rtl/>
          </w:rPr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C15D0" w:rsidRPr="003A3336">
          <w:rPr>
            <w:rFonts w:ascii="IRBadr" w:hAnsi="IRBadr" w:cs="IRBadr"/>
            <w:noProof/>
            <w:webHidden/>
          </w:rPr>
          <w:t>4</w:t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C15D0" w:rsidRPr="003A3336" w:rsidRDefault="00604C75" w:rsidP="005C15D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4120" w:history="1">
        <w:r w:rsidR="005C15D0" w:rsidRPr="003A3336">
          <w:rPr>
            <w:rStyle w:val="Hyperlink"/>
            <w:rFonts w:ascii="IRBadr" w:hAnsi="IRBadr" w:cs="IRBadr"/>
            <w:noProof/>
            <w:rtl/>
          </w:rPr>
          <w:t>اختلاف نسخ در این حدیث</w:t>
        </w:r>
        <w:r w:rsidR="005C15D0" w:rsidRPr="003A3336">
          <w:rPr>
            <w:rFonts w:ascii="IRBadr" w:hAnsi="IRBadr" w:cs="IRBadr"/>
            <w:noProof/>
            <w:webHidden/>
          </w:rPr>
          <w:tab/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C15D0" w:rsidRPr="003A3336">
          <w:rPr>
            <w:rFonts w:ascii="IRBadr" w:hAnsi="IRBadr" w:cs="IRBadr"/>
            <w:noProof/>
            <w:webHidden/>
          </w:rPr>
          <w:instrText xml:space="preserve"> PAGEREF _Toc427884120 \h </w:instrText>
        </w:r>
        <w:r w:rsidR="005C15D0" w:rsidRPr="003A3336">
          <w:rPr>
            <w:rStyle w:val="Hyperlink"/>
            <w:rFonts w:ascii="IRBadr" w:hAnsi="IRBadr" w:cs="IRBadr"/>
            <w:noProof/>
            <w:rtl/>
          </w:rPr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C15D0" w:rsidRPr="003A3336">
          <w:rPr>
            <w:rFonts w:ascii="IRBadr" w:hAnsi="IRBadr" w:cs="IRBadr"/>
            <w:noProof/>
            <w:webHidden/>
          </w:rPr>
          <w:t>4</w:t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C15D0" w:rsidRPr="003A3336" w:rsidRDefault="00604C75" w:rsidP="005C15D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4121" w:history="1">
        <w:r w:rsidR="005C15D0" w:rsidRPr="003A3336">
          <w:rPr>
            <w:rStyle w:val="Hyperlink"/>
            <w:rFonts w:ascii="IRBadr" w:hAnsi="IRBadr" w:cs="IRBadr"/>
            <w:noProof/>
            <w:rtl/>
          </w:rPr>
          <w:t>پاسخ از روایت فوق</w:t>
        </w:r>
        <w:r w:rsidR="005C15D0" w:rsidRPr="003A3336">
          <w:rPr>
            <w:rFonts w:ascii="IRBadr" w:hAnsi="IRBadr" w:cs="IRBadr"/>
            <w:noProof/>
            <w:webHidden/>
          </w:rPr>
          <w:tab/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C15D0" w:rsidRPr="003A3336">
          <w:rPr>
            <w:rFonts w:ascii="IRBadr" w:hAnsi="IRBadr" w:cs="IRBadr"/>
            <w:noProof/>
            <w:webHidden/>
          </w:rPr>
          <w:instrText xml:space="preserve"> PAGEREF _Toc427884121 \h </w:instrText>
        </w:r>
        <w:r w:rsidR="005C15D0" w:rsidRPr="003A3336">
          <w:rPr>
            <w:rStyle w:val="Hyperlink"/>
            <w:rFonts w:ascii="IRBadr" w:hAnsi="IRBadr" w:cs="IRBadr"/>
            <w:noProof/>
            <w:rtl/>
          </w:rPr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C15D0" w:rsidRPr="003A3336">
          <w:rPr>
            <w:rFonts w:ascii="IRBadr" w:hAnsi="IRBadr" w:cs="IRBadr"/>
            <w:noProof/>
            <w:webHidden/>
          </w:rPr>
          <w:t>5</w:t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C15D0" w:rsidRPr="003A3336" w:rsidRDefault="00604C75" w:rsidP="005C15D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4122" w:history="1">
        <w:r w:rsidR="005C15D0" w:rsidRPr="003A3336">
          <w:rPr>
            <w:rStyle w:val="Hyperlink"/>
            <w:rFonts w:ascii="IRBadr" w:hAnsi="IRBadr" w:cs="IRBadr"/>
            <w:noProof/>
            <w:rtl/>
          </w:rPr>
          <w:t>تعارض در این مقام</w:t>
        </w:r>
        <w:r w:rsidR="005C15D0" w:rsidRPr="003A3336">
          <w:rPr>
            <w:rFonts w:ascii="IRBadr" w:hAnsi="IRBadr" w:cs="IRBadr"/>
            <w:noProof/>
            <w:webHidden/>
          </w:rPr>
          <w:tab/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C15D0" w:rsidRPr="003A3336">
          <w:rPr>
            <w:rFonts w:ascii="IRBadr" w:hAnsi="IRBadr" w:cs="IRBadr"/>
            <w:noProof/>
            <w:webHidden/>
          </w:rPr>
          <w:instrText xml:space="preserve"> PAGEREF _Toc427884122 \h </w:instrText>
        </w:r>
        <w:r w:rsidR="005C15D0" w:rsidRPr="003A3336">
          <w:rPr>
            <w:rStyle w:val="Hyperlink"/>
            <w:rFonts w:ascii="IRBadr" w:hAnsi="IRBadr" w:cs="IRBadr"/>
            <w:noProof/>
            <w:rtl/>
          </w:rPr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C15D0" w:rsidRPr="003A3336">
          <w:rPr>
            <w:rFonts w:ascii="IRBadr" w:hAnsi="IRBadr" w:cs="IRBadr"/>
            <w:noProof/>
            <w:webHidden/>
          </w:rPr>
          <w:t>5</w:t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C15D0" w:rsidRPr="003A3336" w:rsidRDefault="00604C75" w:rsidP="005C15D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4123" w:history="1">
        <w:r w:rsidR="005C15D0" w:rsidRPr="003A3336">
          <w:rPr>
            <w:rStyle w:val="Hyperlink"/>
            <w:rFonts w:ascii="IRBadr" w:hAnsi="IRBadr" w:cs="IRBadr"/>
            <w:noProof/>
            <w:rtl/>
          </w:rPr>
          <w:t>ضابطیت در کافی شریف</w:t>
        </w:r>
        <w:r w:rsidR="005C15D0" w:rsidRPr="003A3336">
          <w:rPr>
            <w:rFonts w:ascii="IRBadr" w:hAnsi="IRBadr" w:cs="IRBadr"/>
            <w:noProof/>
            <w:webHidden/>
          </w:rPr>
          <w:tab/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C15D0" w:rsidRPr="003A3336">
          <w:rPr>
            <w:rFonts w:ascii="IRBadr" w:hAnsi="IRBadr" w:cs="IRBadr"/>
            <w:noProof/>
            <w:webHidden/>
          </w:rPr>
          <w:instrText xml:space="preserve"> PAGEREF _Toc427884123 \h </w:instrText>
        </w:r>
        <w:r w:rsidR="005C15D0" w:rsidRPr="003A3336">
          <w:rPr>
            <w:rStyle w:val="Hyperlink"/>
            <w:rFonts w:ascii="IRBadr" w:hAnsi="IRBadr" w:cs="IRBadr"/>
            <w:noProof/>
            <w:rtl/>
          </w:rPr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C15D0" w:rsidRPr="003A3336">
          <w:rPr>
            <w:rFonts w:ascii="IRBadr" w:hAnsi="IRBadr" w:cs="IRBadr"/>
            <w:noProof/>
            <w:webHidden/>
          </w:rPr>
          <w:t>5</w:t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C15D0" w:rsidRPr="003A3336" w:rsidRDefault="00604C75" w:rsidP="005C15D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884124" w:history="1">
        <w:r w:rsidR="00B11B3E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5C15D0" w:rsidRPr="003A3336">
          <w:rPr>
            <w:rFonts w:ascii="IRBadr" w:hAnsi="IRBadr" w:cs="IRBadr"/>
            <w:noProof/>
            <w:webHidden/>
          </w:rPr>
          <w:tab/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C15D0" w:rsidRPr="003A3336">
          <w:rPr>
            <w:rFonts w:ascii="IRBadr" w:hAnsi="IRBadr" w:cs="IRBadr"/>
            <w:noProof/>
            <w:webHidden/>
          </w:rPr>
          <w:instrText xml:space="preserve"> PAGEREF _Toc427884124 \h </w:instrText>
        </w:r>
        <w:r w:rsidR="005C15D0" w:rsidRPr="003A3336">
          <w:rPr>
            <w:rStyle w:val="Hyperlink"/>
            <w:rFonts w:ascii="IRBadr" w:hAnsi="IRBadr" w:cs="IRBadr"/>
            <w:noProof/>
            <w:rtl/>
          </w:rPr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C15D0" w:rsidRPr="003A3336">
          <w:rPr>
            <w:rFonts w:ascii="IRBadr" w:hAnsi="IRBadr" w:cs="IRBadr"/>
            <w:noProof/>
            <w:webHidden/>
          </w:rPr>
          <w:t>6</w:t>
        </w:r>
        <w:r w:rsidR="005C15D0" w:rsidRPr="003A333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C15D0" w:rsidRPr="003A3336" w:rsidRDefault="005C15D0" w:rsidP="005C15D0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3A3336">
        <w:rPr>
          <w:rFonts w:ascii="IRBadr" w:hAnsi="IRBadr" w:cs="IRBadr"/>
          <w:b/>
          <w:bCs/>
          <w:sz w:val="28"/>
          <w:szCs w:val="28"/>
          <w:lang w:bidi="fa-IR"/>
        </w:rPr>
        <w:fldChar w:fldCharType="end"/>
      </w:r>
    </w:p>
    <w:p w:rsidR="005C15D0" w:rsidRPr="003A3336" w:rsidRDefault="005C15D0" w:rsidP="005C15D0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</w:p>
    <w:p w:rsidR="003A3336" w:rsidRDefault="003A3336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884114"/>
      <w:r>
        <w:rPr>
          <w:rFonts w:ascii="IRBadr" w:hAnsi="IRBadr" w:cs="IRBadr"/>
          <w:rtl/>
        </w:rPr>
        <w:br w:type="page"/>
      </w:r>
    </w:p>
    <w:p w:rsidR="002574C8" w:rsidRPr="003A3336" w:rsidRDefault="002574C8" w:rsidP="005C15D0">
      <w:pPr>
        <w:pStyle w:val="Heading1"/>
        <w:rPr>
          <w:rFonts w:ascii="IRBadr" w:hAnsi="IRBadr" w:cs="IRBadr"/>
          <w:rtl/>
        </w:rPr>
      </w:pPr>
      <w:r w:rsidRPr="003A3336">
        <w:rPr>
          <w:rFonts w:ascii="IRBadr" w:hAnsi="IRBadr" w:cs="IRBadr"/>
          <w:rtl/>
        </w:rPr>
        <w:lastRenderedPageBreak/>
        <w:t>حد مسکر</w:t>
      </w:r>
      <w:bookmarkEnd w:id="0"/>
    </w:p>
    <w:p w:rsidR="002574C8" w:rsidRPr="003A3336" w:rsidRDefault="002574C8" w:rsidP="005C15D0">
      <w:pPr>
        <w:pStyle w:val="Heading1"/>
        <w:rPr>
          <w:rFonts w:ascii="IRBadr" w:hAnsi="IRBadr" w:cs="IRBadr"/>
          <w:rtl/>
        </w:rPr>
      </w:pPr>
      <w:bookmarkStart w:id="1" w:name="_Toc427884115"/>
      <w:r w:rsidRPr="003A3336">
        <w:rPr>
          <w:rFonts w:ascii="IRBadr" w:hAnsi="IRBadr" w:cs="IRBadr"/>
          <w:rtl/>
        </w:rPr>
        <w:t>مرور بحث گذشته</w:t>
      </w:r>
      <w:bookmarkEnd w:id="1"/>
    </w:p>
    <w:p w:rsidR="002574C8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>در مسئله دوم بحث عصیر نبیذ ب</w:t>
      </w:r>
      <w:r w:rsidR="00321E62" w:rsidRPr="003A3336">
        <w:rPr>
          <w:rFonts w:ascii="IRBadr" w:hAnsi="IRBadr" w:cs="IRBadr"/>
          <w:sz w:val="28"/>
          <w:szCs w:val="28"/>
          <w:rtl/>
          <w:lang w:bidi="fa-IR"/>
        </w:rPr>
        <w:t>ود و اشاره به این شد که در عصیر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نبیذ قبل ذهاب ثلثین قبل از انقلاب 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 xml:space="preserve">شرب آن </w:t>
      </w:r>
      <w:r w:rsidR="003A3336">
        <w:rPr>
          <w:rFonts w:ascii="IRBadr" w:hAnsi="IRBadr" w:cs="IRBadr"/>
          <w:sz w:val="28"/>
          <w:szCs w:val="28"/>
          <w:rtl/>
          <w:lang w:bidi="fa-IR"/>
        </w:rPr>
        <w:t>نجس و حرام است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، این در بحث طهارت و بحث اطعمه و اشربه ثابت شده بود و 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 xml:space="preserve">تقریباً </w:t>
      </w:r>
      <w:r w:rsidR="00321E62" w:rsidRPr="003A3336">
        <w:rPr>
          <w:rFonts w:ascii="IRBadr" w:hAnsi="IRBadr" w:cs="IRBadr"/>
          <w:sz w:val="28"/>
          <w:szCs w:val="28"/>
          <w:rtl/>
          <w:lang w:bidi="fa-IR"/>
        </w:rPr>
        <w:t>مورد وفاق است که عصیر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نبیذ وقتی که قبل از اینکه ذهاب ثلثین 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>باشد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یا منقلب به خل بشود، حرام و نجس است. آنچه در اینجا م</w:t>
      </w:r>
      <w:r w:rsidR="00321E62" w:rsidRPr="003A3336">
        <w:rPr>
          <w:rFonts w:ascii="IRBadr" w:hAnsi="IRBadr" w:cs="IRBadr"/>
          <w:sz w:val="28"/>
          <w:szCs w:val="28"/>
          <w:rtl/>
          <w:lang w:bidi="fa-IR"/>
        </w:rPr>
        <w:t>حل بحث بود، این بود که آیا عصیر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نبیذ علاوه بر نجاست و حرمت ک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>ه مسلم است، موجب هم است یا نیست؟</w:t>
      </w:r>
    </w:p>
    <w:p w:rsidR="002574C8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مسئله‌ای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بود که در اینجا مطرح شده است. </w:t>
      </w:r>
      <w:r w:rsidR="00321E62" w:rsidRPr="003A3336">
        <w:rPr>
          <w:rFonts w:ascii="IRBadr" w:hAnsi="IRBadr" w:cs="IRBadr"/>
          <w:sz w:val="28"/>
          <w:szCs w:val="28"/>
          <w:rtl/>
          <w:lang w:bidi="fa-IR"/>
        </w:rPr>
        <w:t>پس بحث ما در عصیر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نبیذ قبل ذهاب ثلثین 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>است که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اگر آشامیده شد موجب حد است یا حد نیست؟ بحث طهارت و نجاست در حرمت شربش محل تأمل و تردید نیست، مسلم هم حرام 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>و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هم نجس است. </w:t>
      </w:r>
    </w:p>
    <w:p w:rsidR="002574C8" w:rsidRPr="003A3336" w:rsidRDefault="002574C8" w:rsidP="005C15D0">
      <w:pPr>
        <w:pStyle w:val="Heading2"/>
        <w:rPr>
          <w:rFonts w:ascii="IRBadr" w:hAnsi="IRBadr" w:cs="IRBadr"/>
          <w:rtl/>
        </w:rPr>
      </w:pPr>
      <w:bookmarkStart w:id="2" w:name="_Toc427884116"/>
      <w:r w:rsidRPr="003A3336">
        <w:rPr>
          <w:rFonts w:ascii="IRBadr" w:hAnsi="IRBadr" w:cs="IRBadr"/>
          <w:rtl/>
        </w:rPr>
        <w:t>مستند حد در نبیذ</w:t>
      </w:r>
      <w:bookmarkEnd w:id="2"/>
    </w:p>
    <w:p w:rsidR="002574C8" w:rsidRPr="003A3336" w:rsidRDefault="00701839" w:rsidP="00B11B3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تنها دلیلی که ذکر شده برای اینکه علاوه بر نجاست و حرمت 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حد هم بر آن ثابت است، روایتی است که در وسائل جلد هفده، کتاب اط</w:t>
      </w:r>
      <w:r w:rsidR="00B11B3E" w:rsidRPr="003A3336">
        <w:rPr>
          <w:rFonts w:ascii="IRBadr" w:hAnsi="IRBadr" w:cs="IRBadr"/>
          <w:sz w:val="28"/>
          <w:szCs w:val="28"/>
          <w:rtl/>
          <w:lang w:bidi="fa-IR"/>
        </w:rPr>
        <w:t>ع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مه و اشربه، ابواب اشربه محرمه، باب هفت، حدیث چهارم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 xml:space="preserve"> و صفحه دویست و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سی‌وچهار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 xml:space="preserve"> ذکر شده است.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برخلاف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گفتیم نجاست و حرمت که ادله متعددی دارد، حکم حد همین یک دلیل دارد. آن هم ب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 xml:space="preserve">ا مناقشاتی که ملاحظه خواهید کرد،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روبه‌روست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 xml:space="preserve"> .</w:t>
      </w:r>
    </w:p>
    <w:p w:rsidR="002574C8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این باب مربوط به حد نیست، باب تحریم عصیر است. یعنی اینکه عصیر قبل ذهاب ثلثین اکلش حرام است. و روایت دیگر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>ی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غیر از این روایت چهارم وجو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>د دارد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که قبل ذهاب ثلثین شربش حرام است.</w:t>
      </w:r>
    </w:p>
    <w:p w:rsidR="002574C8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تقریباً مورد اتفاق است که قبل ذهاب ثلثین و قبل انقلاب به خل نجس و حرام است، روایات نجاستش در کتاب طهاره آمده است. روایات حرمت شربش هم در این باب و سایر ابواب اطعمه و اشربه محرمه آمده است. اما برای حد همین یک روایت است.</w:t>
      </w:r>
    </w:p>
    <w:p w:rsidR="002574C8" w:rsidRPr="003A3336" w:rsidRDefault="002574C8" w:rsidP="005C15D0">
      <w:pPr>
        <w:pStyle w:val="Heading2"/>
        <w:rPr>
          <w:rFonts w:ascii="IRBadr" w:hAnsi="IRBadr" w:cs="IRBadr"/>
          <w:rtl/>
        </w:rPr>
      </w:pPr>
      <w:bookmarkStart w:id="3" w:name="_Toc427884117"/>
      <w:r w:rsidRPr="003A3336">
        <w:rPr>
          <w:rFonts w:ascii="IRBadr" w:hAnsi="IRBadr" w:cs="IRBadr"/>
          <w:rtl/>
        </w:rPr>
        <w:t>بررسی سندی روایت</w:t>
      </w:r>
      <w:bookmarkEnd w:id="3"/>
    </w:p>
    <w:p w:rsidR="002574C8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این روایت 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>از کافی نقل شده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و شیخ هم این را نقل کرده است. </w:t>
      </w:r>
      <w:r w:rsidR="002574C8" w:rsidRPr="003A3336">
        <w:rPr>
          <w:rFonts w:ascii="IRBadr" w:hAnsi="IRBadr" w:cs="IRBadr"/>
          <w:sz w:val="28"/>
          <w:szCs w:val="28"/>
          <w:rtl/>
          <w:lang w:bidi="fa-IR"/>
        </w:rPr>
        <w:t>روایت در تهذیب نیز نقل شده است. سند کاملاً معتبر است.</w:t>
      </w:r>
    </w:p>
    <w:p w:rsidR="002574C8" w:rsidRPr="00DD1F41" w:rsidRDefault="00DD1F41" w:rsidP="005C15D0">
      <w:pPr>
        <w:bidi/>
        <w:jc w:val="both"/>
        <w:rPr>
          <w:rFonts w:ascii="IRBadr" w:hAnsi="IRBadr" w:cs="IRBadr"/>
          <w:b/>
          <w:bCs/>
          <w:color w:val="FF0000"/>
          <w:sz w:val="28"/>
          <w:szCs w:val="28"/>
          <w:rtl/>
          <w:lang w:bidi="fa-IR"/>
        </w:rPr>
      </w:pP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lastRenderedPageBreak/>
        <w:t>عَنْ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أَحْمَدَ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مُحَمَّدٍ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مُحَمَّدِ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إِسْمَاعِيلَ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يُونُسَ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يَعْقُوبَ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مُعَاوِيَةَ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عَمَّارٍ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: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«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سَأَلْتُ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أَبَا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عَبْدِ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الرَّجُلِ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أَهْلِ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الْمَعْرِفَةِ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بِالْحَقِّ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يَأْتِينِي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بِالْبُخْتُجِ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يَقُولُ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قَدْ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طُبِخَ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عَلَى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الثُّلُثِ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أَنَا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أَعْرِفُ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أَنَّهُ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يَشْرَبُهُ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عَلَى</w:t>
      </w:r>
      <w:r w:rsidRPr="00DD1F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DD1F4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النِّصْفِ...»</w:t>
      </w:r>
      <w:r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9A45B0" w:rsidRPr="003A3336" w:rsidRDefault="009A45B0" w:rsidP="005C15D0">
      <w:pPr>
        <w:pStyle w:val="Heading2"/>
        <w:rPr>
          <w:rFonts w:ascii="IRBadr" w:hAnsi="IRBadr" w:cs="IRBadr"/>
          <w:rtl/>
        </w:rPr>
      </w:pPr>
      <w:bookmarkStart w:id="4" w:name="_Toc427884118"/>
      <w:r w:rsidRPr="003A3336">
        <w:rPr>
          <w:rFonts w:ascii="IRBadr" w:hAnsi="IRBadr" w:cs="IRBadr"/>
          <w:rtl/>
        </w:rPr>
        <w:t>موضوع روایت</w:t>
      </w:r>
      <w:bookmarkEnd w:id="4"/>
    </w:p>
    <w:p w:rsidR="009A45B0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کسی از شیعه برای من ظرفی از عصیر عنبی که پخته شده است،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 xml:space="preserve">به من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این پخته شده در حد ثلث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یعنی این را پختند و جوشاندند که دو ثلث آن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زایل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شده است و ثلثش باقی مانده است. برای اینکه من مطمئن بشوم به اینکه این حلال است و مشکلی در آن نیست.</w:t>
      </w:r>
    </w:p>
    <w:p w:rsidR="009A45B0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من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می‌دانم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نیست، 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 xml:space="preserve">او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مقید نیس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 xml:space="preserve">ت این را بجوشاند تا ذهاب ثلثین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شود. بلکه در حد نصف که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زایل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بشود، 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>آن را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می‌خورد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 xml:space="preserve"> .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آیا من می‌توانم به قول او اعتماد کنم،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 xml:space="preserve"> خودش به علی النصف شرب می‌کند؟</w:t>
      </w:r>
    </w:p>
    <w:p w:rsidR="009A45B0" w:rsidRPr="003A3336" w:rsidRDefault="00B11B3E" w:rsidP="005C15D0">
      <w:pPr>
        <w:pStyle w:val="Heading2"/>
        <w:rPr>
          <w:rFonts w:ascii="IRBadr" w:hAnsi="IRBadr" w:cs="IRBadr"/>
          <w:rtl/>
        </w:rPr>
      </w:pPr>
      <w:bookmarkStart w:id="5" w:name="_Toc427884119"/>
      <w:r>
        <w:rPr>
          <w:rFonts w:ascii="IRBadr" w:hAnsi="IRBadr" w:cs="IRBadr"/>
          <w:rtl/>
        </w:rPr>
        <w:t>حجیت قول ذو</w:t>
      </w:r>
      <w:r w:rsidR="009A45B0" w:rsidRPr="003A3336">
        <w:rPr>
          <w:rFonts w:ascii="IRBadr" w:hAnsi="IRBadr" w:cs="IRBadr"/>
          <w:rtl/>
        </w:rPr>
        <w:t>الید</w:t>
      </w:r>
      <w:bookmarkEnd w:id="5"/>
    </w:p>
    <w:p w:rsidR="009A45B0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در امور دیگر در طهارت و نجاست قول ذو الید مسلم حجت است. در سایر اقوال محل بحث است، ولی 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>بسیاری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، در بعضی از 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>موارد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A45B0" w:rsidRPr="003A3336">
        <w:rPr>
          <w:rFonts w:ascii="IRBadr" w:hAnsi="IRBadr" w:cs="IRBadr"/>
          <w:sz w:val="28"/>
          <w:szCs w:val="28"/>
          <w:rtl/>
          <w:lang w:bidi="fa-IR"/>
        </w:rPr>
        <w:t xml:space="preserve">اکل و شرب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معتبر است.</w:t>
      </w:r>
    </w:p>
    <w:p w:rsidR="001D0CDA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منتها این ذو الید حالت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لاابالی‌گری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دارد. آیا می‌شود به قول ذو الید در اینجا هم اعتماد کرد یا نه؟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این قاعده کلی است که قول ذو الید در کجا 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>و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تا چه اندا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>زه حجت است؟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 xml:space="preserve"> اگر ذو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الیدی ثقه باشد یا حداق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>ل علم به خلاف او نیست ، این حجت است؟</w:t>
      </w:r>
    </w:p>
    <w:p w:rsidR="001D0CDA" w:rsidRPr="003A3336" w:rsidRDefault="001D0CDA" w:rsidP="005C15D0">
      <w:pPr>
        <w:pStyle w:val="Heading2"/>
        <w:rPr>
          <w:rFonts w:ascii="IRBadr" w:hAnsi="IRBadr" w:cs="IRBadr"/>
          <w:rtl/>
        </w:rPr>
      </w:pPr>
      <w:bookmarkStart w:id="6" w:name="_Toc427884120"/>
      <w:r w:rsidRPr="003A3336">
        <w:rPr>
          <w:rFonts w:ascii="IRBadr" w:hAnsi="IRBadr" w:cs="IRBadr"/>
          <w:rtl/>
        </w:rPr>
        <w:t>اختلاف نسخ در این حدیث</w:t>
      </w:r>
      <w:bookmarkEnd w:id="6"/>
    </w:p>
    <w:p w:rsidR="001D0CDA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در نسخه مرحوم کلینی که در این وسایل نسخه مرحوم کلینی نقل شده است، کلمه خمر نیامده است. پس در نسخه مرحوم شیخ در پاسخ به این سؤال، خمر 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>ذکر شده است ،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اما در نسخه مرحوم کلینی که در وسائل هم از آن نقل شده، خمر ندارد، فقط یک جمله دارد که حضرت می‌فرماید 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 xml:space="preserve">آن را ننوش.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طبق نقل کلینی، می‌گوید این عصیر عنبی نازل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‌منزله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خمر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بر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که احکام خمر را ذکر کرده است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 xml:space="preserve"> حکومت دارد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. این نوعی حکومت توسعی است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که دلیل حاکم نسبت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محکوم گاهی تضییق</w:t>
      </w:r>
      <w:r w:rsidR="001D0CDA" w:rsidRPr="003A3336">
        <w:rPr>
          <w:rFonts w:ascii="IRBadr" w:hAnsi="IRBadr" w:cs="IRBadr"/>
          <w:sz w:val="28"/>
          <w:szCs w:val="28"/>
          <w:rtl/>
          <w:lang w:bidi="fa-IR"/>
        </w:rPr>
        <w:t xml:space="preserve"> پیدا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می‌کند، گاهی توسعه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می‌یابد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</w:p>
    <w:p w:rsidR="00F8626B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lastRenderedPageBreak/>
        <w:t>جواب امام اگر خمر نداشته باشد، اصلاً بحثی ندارد. امام یک نکته را پاسخ داده است و یک مطلب را افاده می‌کند که اعتماد به قول ذو ال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 xml:space="preserve">ید تا جایی است که لاابالی نباشد.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اما اگر کلمه خمر داشته باشد، جواب امام می‌گوید 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ذو الید قولش اعتماد ندارد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اینکه 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 xml:space="preserve">برای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خمر حکومت درست می‌شود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8626B" w:rsidRPr="003A3336" w:rsidRDefault="00F8626B" w:rsidP="005C15D0">
      <w:pPr>
        <w:pStyle w:val="Heading2"/>
        <w:rPr>
          <w:rFonts w:ascii="IRBadr" w:hAnsi="IRBadr" w:cs="IRBadr"/>
          <w:rtl/>
        </w:rPr>
      </w:pPr>
      <w:bookmarkStart w:id="7" w:name="_Toc427884121"/>
      <w:r w:rsidRPr="003A3336">
        <w:rPr>
          <w:rFonts w:ascii="IRBadr" w:hAnsi="IRBadr" w:cs="IRBadr"/>
          <w:rtl/>
        </w:rPr>
        <w:t>پاسخ از روایت فوق</w:t>
      </w:r>
      <w:bookmarkEnd w:id="7"/>
    </w:p>
    <w:p w:rsidR="00F8626B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یک جواب این است که اینجا اختلاف نسخه است. و اختلاف نسخه که 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>باشد دیگر نمی‌شود اعتماد کرد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 xml:space="preserve">که بالاخره خمر در کلام بوده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یا نبوده اس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>ت؟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منتها 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>اینکه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اختلاف نسخه که شد آیا تعارض می‌کنند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یا اینکه در اختلاف نسخ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 xml:space="preserve"> مرجحاتی وجود دارد کما اینکه چند مورد را ذکر کردیم.</w:t>
      </w:r>
    </w:p>
    <w:p w:rsidR="00C7645A" w:rsidRPr="003A3336" w:rsidRDefault="00B11B3E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یک مرجحاتی وجود دارد که اگر آن‌ها باشد </w:t>
      </w:r>
      <w:r w:rsidR="00F8626B" w:rsidRPr="003A3336">
        <w:rPr>
          <w:rFonts w:ascii="IRBadr" w:hAnsi="IRBadr" w:cs="IRBadr"/>
          <w:sz w:val="28"/>
          <w:szCs w:val="28"/>
          <w:rtl/>
          <w:lang w:bidi="fa-IR"/>
        </w:rPr>
        <w:t>ترجیح پیدا می‌کند.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در اینجا دو مرجح وجود دارد، نسخه شیخ که می‌گوید خمر هست مرجح آن این است، که اصل عدم زیاده بر اصل عدم نقیصه مقدم است. توضیح </w:t>
      </w:r>
      <w:r>
        <w:rPr>
          <w:rFonts w:ascii="IRBadr" w:hAnsi="IRBadr" w:cs="IRBadr"/>
          <w:sz w:val="28"/>
          <w:szCs w:val="28"/>
          <w:rtl/>
          <w:lang w:bidi="fa-IR"/>
        </w:rPr>
        <w:t>مسئله این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است که وقتی روایتی نقل می‌شود، عقلا </w:t>
      </w:r>
      <w:r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اصل این است که راوی ثقه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>، چیزی اضافه نکرده است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>
        <w:rPr>
          <w:rFonts w:ascii="IRBadr" w:hAnsi="IRBadr" w:cs="IRBadr"/>
          <w:sz w:val="28"/>
          <w:szCs w:val="28"/>
          <w:rtl/>
          <w:lang w:bidi="fa-IR"/>
        </w:rPr>
        <w:t>چنانکه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چیزی کم نکرده است. </w:t>
      </w:r>
    </w:p>
    <w:p w:rsidR="00C7645A" w:rsidRPr="003A3336" w:rsidRDefault="00C7645A" w:rsidP="005C15D0">
      <w:pPr>
        <w:pStyle w:val="Heading2"/>
        <w:rPr>
          <w:rFonts w:ascii="IRBadr" w:hAnsi="IRBadr" w:cs="IRBadr"/>
          <w:rtl/>
        </w:rPr>
      </w:pPr>
      <w:bookmarkStart w:id="8" w:name="_Toc427884122"/>
      <w:r w:rsidRPr="003A3336">
        <w:rPr>
          <w:rFonts w:ascii="IRBadr" w:hAnsi="IRBadr" w:cs="IRBadr"/>
          <w:rtl/>
        </w:rPr>
        <w:t>تعارض در این مقام</w:t>
      </w:r>
      <w:bookmarkEnd w:id="8"/>
    </w:p>
    <w:p w:rsidR="00C7645A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منتها اگر در جایی 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دو نسخه پیدا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شود، یکی بگوید فرض خمر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بیاورد، 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دیگری قائل شود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نیاورد، شک می‌کنیم که آیا آن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نسخه‌ای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که در تهذیب آمده است و خمر دارد، چیزی اضافه کرده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؟ یا اینکه آن نسخه که نیاورده، چیزی 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>را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ساقط کرده است؟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امر 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بین اصل عدم زیاده و اصل عدم نقیصه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 تعارض پیدا می‌شود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</w:p>
    <w:p w:rsidR="00C7645A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اختلاف‌ها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اصل عدم زیاده همیشه مقدم است، 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اضافه کردن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مؤونه‌ای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می‌خواهد که کمتر در نقل‌ها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 جریان دارد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، ولی کاهش و افتادگی خیلی بیشتر است.</w:t>
      </w:r>
    </w:p>
    <w:p w:rsidR="00C7645A" w:rsidRPr="003A3336" w:rsidRDefault="00C7645A" w:rsidP="005C15D0">
      <w:pPr>
        <w:pStyle w:val="Heading2"/>
        <w:rPr>
          <w:rFonts w:ascii="IRBadr" w:hAnsi="IRBadr" w:cs="IRBadr"/>
          <w:rtl/>
        </w:rPr>
      </w:pPr>
      <w:bookmarkStart w:id="9" w:name="_Toc427884123"/>
      <w:r w:rsidRPr="003A3336">
        <w:rPr>
          <w:rFonts w:ascii="IRBadr" w:hAnsi="IRBadr" w:cs="IRBadr"/>
          <w:rtl/>
        </w:rPr>
        <w:t>ضابطیت در کافی شریف</w:t>
      </w:r>
      <w:bookmarkEnd w:id="9"/>
    </w:p>
    <w:p w:rsidR="00C7645A" w:rsidRPr="003A3336" w:rsidRDefault="00701839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اصولاً بین مرحوم کلینی و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تااندازه‌ای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مرحوم صدوق با مرحوم شیخ به لحاظ ضبط نسخه فرق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 بسیاری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است. علتش این است که فقها گفتند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علی‌رغم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جلالت مقام مرحوم شیخ و خدمات و آثاری که انجام داده است 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. اما به لحاظ اینکه مرحوم شیخ طوسی 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>فرد پرکار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و ذو مشاغل کثیره بوده است. آدم پرکاری بوده است</w:t>
      </w:r>
      <w:r w:rsidR="00C7645A" w:rsidRPr="003A3336">
        <w:rPr>
          <w:rFonts w:ascii="IRBadr" w:hAnsi="IRBadr" w:cs="IRBadr"/>
          <w:sz w:val="28"/>
          <w:szCs w:val="28"/>
          <w:rtl/>
          <w:lang w:bidi="fa-IR"/>
        </w:rPr>
        <w:t xml:space="preserve"> از ضبطیت کمتری برخوردار است.</w:t>
      </w:r>
    </w:p>
    <w:p w:rsidR="00865812" w:rsidRPr="003A3336" w:rsidRDefault="00B11B3E" w:rsidP="005C15D0">
      <w:pPr>
        <w:pStyle w:val="Heading2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lastRenderedPageBreak/>
        <w:t>نتیجه‌گیری</w:t>
      </w:r>
    </w:p>
    <w:p w:rsidR="00865812" w:rsidRPr="003A3336" w:rsidRDefault="00B11B3E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="00865812" w:rsidRPr="003A3336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مرجحات </w:t>
      </w:r>
      <w:r w:rsidR="00865812" w:rsidRPr="003A333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اینجا تعارض  و تساقط می‌کنند. </w:t>
      </w:r>
      <w:r>
        <w:rPr>
          <w:rFonts w:ascii="IRBadr" w:hAnsi="IRBadr" w:cs="IRBadr"/>
          <w:sz w:val="28"/>
          <w:szCs w:val="28"/>
          <w:rtl/>
          <w:lang w:bidi="fa-IR"/>
        </w:rPr>
        <w:t>بازهم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کلمه خمر ثابت نمی‌شود. یا </w:t>
      </w:r>
      <w:r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مرجح اضبطیت کافی مقدم بر مرجح آن طرف است و </w:t>
      </w:r>
      <w:r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کلمه خمر ثابت نمی‌شود.</w:t>
      </w:r>
      <w:r w:rsidR="00865812" w:rsidRPr="003A3336">
        <w:rPr>
          <w:rFonts w:ascii="IRBadr" w:hAnsi="IRBadr" w:cs="IRBadr"/>
          <w:sz w:val="28"/>
          <w:szCs w:val="28"/>
          <w:rtl/>
          <w:lang w:bidi="fa-IR"/>
        </w:rPr>
        <w:t xml:space="preserve">پس 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از هر مسیری برویم به یک نتیجه می‌رسیم و آن این است که کلمه خمر در کلام امام برای ما ثابت نیست. </w:t>
      </w:r>
    </w:p>
    <w:p w:rsidR="00865812" w:rsidRPr="003A3336" w:rsidRDefault="00865812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اینجا حتی اگر اضبطیت کلینی را قبول نکنیم و بگوییم اصل عدم زیاده مقدم است و بنابراین کلمه خمر اینجا هست 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اما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موارد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 xml:space="preserve"> دیگر نمی‌توانیم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آن را قبول کنیم</w:t>
      </w:r>
      <w:r w:rsidR="00701839" w:rsidRPr="003A3336">
        <w:rPr>
          <w:rFonts w:ascii="IRBadr" w:hAnsi="IRBadr" w:cs="IRBadr"/>
          <w:sz w:val="28"/>
          <w:szCs w:val="28"/>
          <w:rtl/>
          <w:lang w:bidi="fa-IR"/>
        </w:rPr>
        <w:t>. چون تدرع الحدود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 xml:space="preserve"> در اینجا اخذ به طرف مقابل را تقویت </w:t>
      </w:r>
      <w:r w:rsidR="00B11B3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3A333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65812" w:rsidRPr="003A3336" w:rsidRDefault="00865812" w:rsidP="005C15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3A3336" w:rsidRDefault="00152670" w:rsidP="005C15D0">
      <w:pPr>
        <w:bidi/>
        <w:jc w:val="both"/>
        <w:rPr>
          <w:rFonts w:ascii="IRBadr" w:hAnsi="IRBadr" w:cs="IRBadr"/>
        </w:rPr>
      </w:pPr>
    </w:p>
    <w:sectPr w:rsidR="00152670" w:rsidRPr="003A3336" w:rsidSect="007018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C75" w:rsidRDefault="00604C75" w:rsidP="00701839">
      <w:pPr>
        <w:spacing w:after="0" w:line="240" w:lineRule="auto"/>
      </w:pPr>
      <w:r>
        <w:separator/>
      </w:r>
    </w:p>
  </w:endnote>
  <w:endnote w:type="continuationSeparator" w:id="0">
    <w:p w:rsidR="00604C75" w:rsidRDefault="00604C75" w:rsidP="00701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815" w:rsidRDefault="00E828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4656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647B" w:rsidRDefault="006A647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8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A647B" w:rsidRDefault="006A64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815" w:rsidRDefault="00E828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C75" w:rsidRDefault="00604C75" w:rsidP="00701839">
      <w:pPr>
        <w:spacing w:after="0" w:line="240" w:lineRule="auto"/>
      </w:pPr>
      <w:r>
        <w:separator/>
      </w:r>
    </w:p>
  </w:footnote>
  <w:footnote w:type="continuationSeparator" w:id="0">
    <w:p w:rsidR="00604C75" w:rsidRDefault="00604C75" w:rsidP="00701839">
      <w:pPr>
        <w:spacing w:after="0" w:line="240" w:lineRule="auto"/>
      </w:pPr>
      <w:r>
        <w:continuationSeparator/>
      </w:r>
    </w:p>
  </w:footnote>
  <w:footnote w:id="1">
    <w:p w:rsidR="00DD1F41" w:rsidRPr="00DD1F41" w:rsidRDefault="00DD1F41" w:rsidP="00DD1F41">
      <w:pPr>
        <w:pStyle w:val="FootnoteText"/>
        <w:rPr>
          <w:rFonts w:ascii="IRBadr" w:hAnsi="IRBadr" w:cs="IRBadr"/>
          <w:b/>
          <w:bCs/>
          <w:rtl/>
        </w:rPr>
      </w:pPr>
      <w:r w:rsidRPr="00DD1F41">
        <w:rPr>
          <w:rStyle w:val="FootnoteReference"/>
          <w:rFonts w:ascii="IRBadr" w:hAnsi="IRBadr" w:cs="IRBadr"/>
          <w:b/>
          <w:bCs/>
        </w:rPr>
        <w:footnoteRef/>
      </w:r>
      <w:r w:rsidRPr="00DD1F41">
        <w:rPr>
          <w:rFonts w:ascii="IRBadr" w:hAnsi="IRBadr" w:cs="IRBadr"/>
          <w:b/>
          <w:bCs/>
          <w:rtl/>
        </w:rPr>
        <w:t xml:space="preserve"> - وسائل الشيعة، ج‏25، ص: 293.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815" w:rsidRDefault="00E828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839" w:rsidRPr="00701839" w:rsidRDefault="00701839" w:rsidP="00701839">
    <w:pPr>
      <w:tabs>
        <w:tab w:val="left" w:pos="1256"/>
        <w:tab w:val="left" w:pos="5696"/>
        <w:tab w:val="right" w:pos="9071"/>
      </w:tabs>
      <w:bidi/>
      <w:spacing w:line="240" w:lineRule="auto"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34A0C8F2" wp14:editId="1749C5D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966F614" id="Straight Connector 2" o:spid="_x0000_s1026" style="position:absolute;left:0;text-align:left;flip:x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  <w:lang w:bidi="fa-IR"/>
      </w:rPr>
      <w:drawing>
        <wp:inline distT="0" distB="0" distL="0" distR="0" wp14:anchorId="04372EA9" wp14:editId="5405B84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</w:t>
    </w:r>
    <w:r w:rsidR="00E82815">
      <w:rPr>
        <w:rFonts w:ascii="IranNastaliq" w:hAnsi="IranNastaliq" w:cs="IranNastaliq" w:hint="cs"/>
        <w:sz w:val="40"/>
        <w:szCs w:val="40"/>
        <w:rtl/>
        <w:lang w:bidi="fa-IR"/>
      </w:rPr>
      <w:t xml:space="preserve">                                                                                   </w:t>
    </w:r>
    <w:bookmarkStart w:id="12" w:name="_GoBack"/>
    <w:bookmarkEnd w:id="12"/>
    <w:r>
      <w:rPr>
        <w:rFonts w:ascii="IranNastaliq" w:hAnsi="IranNastaliq" w:cs="IranNastaliq" w:hint="cs"/>
        <w:sz w:val="40"/>
        <w:szCs w:val="40"/>
        <w:rtl/>
      </w:rPr>
      <w:t xml:space="preserve">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84</w:t>
    </w:r>
    <w:r>
      <w:rPr>
        <w:rFonts w:ascii="IranNastaliq" w:hAnsi="IranNastaliq" w:cs="IranNastaliq" w:hint="cs"/>
        <w:sz w:val="40"/>
        <w:szCs w:val="40"/>
        <w:rtl/>
        <w:lang w:bidi="fa-IR"/>
      </w:rPr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815" w:rsidRDefault="00E828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839"/>
    <w:rsid w:val="000324F1"/>
    <w:rsid w:val="00052BA3"/>
    <w:rsid w:val="0006363E"/>
    <w:rsid w:val="00080DFF"/>
    <w:rsid w:val="00085ED5"/>
    <w:rsid w:val="000A1A5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0CDA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574C8"/>
    <w:rsid w:val="00270294"/>
    <w:rsid w:val="002914BD"/>
    <w:rsid w:val="00297263"/>
    <w:rsid w:val="002C56FD"/>
    <w:rsid w:val="002D49E4"/>
    <w:rsid w:val="002D5D74"/>
    <w:rsid w:val="002E450B"/>
    <w:rsid w:val="002E73F9"/>
    <w:rsid w:val="002F05B9"/>
    <w:rsid w:val="00321E62"/>
    <w:rsid w:val="00330702"/>
    <w:rsid w:val="00340BA3"/>
    <w:rsid w:val="00366400"/>
    <w:rsid w:val="00396F28"/>
    <w:rsid w:val="003A1A05"/>
    <w:rsid w:val="003A2654"/>
    <w:rsid w:val="003A3336"/>
    <w:rsid w:val="003C7899"/>
    <w:rsid w:val="003D2F0A"/>
    <w:rsid w:val="003D563F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4F7B9F"/>
    <w:rsid w:val="00533B21"/>
    <w:rsid w:val="00572E2D"/>
    <w:rsid w:val="00583225"/>
    <w:rsid w:val="00592103"/>
    <w:rsid w:val="005A545E"/>
    <w:rsid w:val="005A5862"/>
    <w:rsid w:val="005B0852"/>
    <w:rsid w:val="005C06AE"/>
    <w:rsid w:val="005C15D0"/>
    <w:rsid w:val="00604C75"/>
    <w:rsid w:val="00610C18"/>
    <w:rsid w:val="0061376C"/>
    <w:rsid w:val="00636EFA"/>
    <w:rsid w:val="0069696C"/>
    <w:rsid w:val="006A085A"/>
    <w:rsid w:val="006A647B"/>
    <w:rsid w:val="006D3A87"/>
    <w:rsid w:val="006F01B4"/>
    <w:rsid w:val="0070183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0248"/>
    <w:rsid w:val="007C1EF7"/>
    <w:rsid w:val="007C710E"/>
    <w:rsid w:val="007D0B88"/>
    <w:rsid w:val="007D1549"/>
    <w:rsid w:val="007E0223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65812"/>
    <w:rsid w:val="00883733"/>
    <w:rsid w:val="008965D2"/>
    <w:rsid w:val="008A236D"/>
    <w:rsid w:val="008B565A"/>
    <w:rsid w:val="008C3414"/>
    <w:rsid w:val="008D36D5"/>
    <w:rsid w:val="008E7267"/>
    <w:rsid w:val="008F63E3"/>
    <w:rsid w:val="00913C3B"/>
    <w:rsid w:val="00915509"/>
    <w:rsid w:val="00922811"/>
    <w:rsid w:val="00927388"/>
    <w:rsid w:val="009274FE"/>
    <w:rsid w:val="0096045A"/>
    <w:rsid w:val="009613AC"/>
    <w:rsid w:val="00980643"/>
    <w:rsid w:val="009A45B0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6622C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1B3E"/>
    <w:rsid w:val="00B15027"/>
    <w:rsid w:val="00B21CF4"/>
    <w:rsid w:val="00B24300"/>
    <w:rsid w:val="00B63F15"/>
    <w:rsid w:val="00BB5F7E"/>
    <w:rsid w:val="00BD3122"/>
    <w:rsid w:val="00BD40DA"/>
    <w:rsid w:val="00C142EB"/>
    <w:rsid w:val="00C160AF"/>
    <w:rsid w:val="00C22299"/>
    <w:rsid w:val="00C25609"/>
    <w:rsid w:val="00C26607"/>
    <w:rsid w:val="00C60D75"/>
    <w:rsid w:val="00C64CEA"/>
    <w:rsid w:val="00C73012"/>
    <w:rsid w:val="00C763DD"/>
    <w:rsid w:val="00C7645A"/>
    <w:rsid w:val="00C84FC0"/>
    <w:rsid w:val="00C9244A"/>
    <w:rsid w:val="00CB5DA3"/>
    <w:rsid w:val="00CE0BE9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1F41"/>
    <w:rsid w:val="00DD3C0D"/>
    <w:rsid w:val="00DD4864"/>
    <w:rsid w:val="00DD71A2"/>
    <w:rsid w:val="00DE2A62"/>
    <w:rsid w:val="00E0639C"/>
    <w:rsid w:val="00E067E6"/>
    <w:rsid w:val="00E12531"/>
    <w:rsid w:val="00E143B0"/>
    <w:rsid w:val="00E55891"/>
    <w:rsid w:val="00E6283A"/>
    <w:rsid w:val="00E732A3"/>
    <w:rsid w:val="00E82815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626B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0183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table" w:styleId="TableGrid">
    <w:name w:val="Table Grid"/>
    <w:basedOn w:val="TableNormal"/>
    <w:uiPriority w:val="59"/>
    <w:rsid w:val="00701839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1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839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01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839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839"/>
    <w:rPr>
      <w:rFonts w:ascii="Tahoma" w:eastAsiaTheme="minorHAnsi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5C15D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D1F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0183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table" w:styleId="TableGrid">
    <w:name w:val="Table Grid"/>
    <w:basedOn w:val="TableNormal"/>
    <w:uiPriority w:val="59"/>
    <w:rsid w:val="00701839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1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839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018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839"/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839"/>
    <w:rPr>
      <w:rFonts w:ascii="Tahoma" w:eastAsiaTheme="minorHAnsi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5C15D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D1F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7498D-D9C0-4809-BDB2-21124AB6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اکبریان</cp:lastModifiedBy>
  <cp:revision>15</cp:revision>
  <dcterms:created xsi:type="dcterms:W3CDTF">2014-11-17T10:14:00Z</dcterms:created>
  <dcterms:modified xsi:type="dcterms:W3CDTF">2015-08-10T10:18:00Z</dcterms:modified>
</cp:coreProperties>
</file>